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4080A" w14:textId="77777777" w:rsidR="00B64574" w:rsidRPr="00B64574" w:rsidRDefault="00B64574" w:rsidP="00B64574">
      <w:pPr>
        <w:shd w:val="clear" w:color="auto" w:fill="FFFFFF"/>
        <w:spacing w:before="18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555555"/>
          <w:kern w:val="0"/>
          <w:sz w:val="48"/>
          <w:szCs w:val="48"/>
          <w:lang w:eastAsia="pt-BR"/>
          <w14:ligatures w14:val="none"/>
        </w:rPr>
      </w:pPr>
      <w:r w:rsidRPr="00B64574">
        <w:rPr>
          <w:rFonts w:ascii="Times New Roman" w:eastAsia="Times New Roman" w:hAnsi="Times New Roman" w:cs="Times New Roman"/>
          <w:b/>
          <w:bCs/>
          <w:caps/>
          <w:color w:val="555555"/>
          <w:kern w:val="0"/>
          <w:sz w:val="48"/>
          <w:szCs w:val="48"/>
          <w:lang w:eastAsia="pt-BR"/>
          <w14:ligatures w14:val="none"/>
        </w:rPr>
        <w:t>DIÁRIO OFICIAL DA UNIÃO</w:t>
      </w:r>
    </w:p>
    <w:p w14:paraId="11652BD2" w14:textId="77777777" w:rsidR="00B64574" w:rsidRPr="00B64574" w:rsidRDefault="00B64574" w:rsidP="00B64574">
      <w:pPr>
        <w:shd w:val="clear" w:color="auto" w:fill="FFFFFF"/>
        <w:spacing w:before="30" w:after="45" w:line="240" w:lineRule="auto"/>
        <w:jc w:val="center"/>
        <w:rPr>
          <w:rFonts w:ascii="Arial" w:eastAsia="Times New Roman" w:hAnsi="Arial" w:cs="Arial"/>
          <w:color w:val="555555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666666"/>
          <w:kern w:val="0"/>
          <w:sz w:val="19"/>
          <w:szCs w:val="19"/>
          <w:lang w:eastAsia="pt-BR"/>
          <w14:ligatures w14:val="none"/>
        </w:rPr>
        <w:t>Publicado em: 12/05/2023</w:t>
      </w:r>
      <w:r w:rsidRPr="00B64574">
        <w:rPr>
          <w:rFonts w:ascii="Arial" w:eastAsia="Times New Roman" w:hAnsi="Arial" w:cs="Arial"/>
          <w:color w:val="555555"/>
          <w:kern w:val="0"/>
          <w:sz w:val="24"/>
          <w:szCs w:val="24"/>
          <w:lang w:eastAsia="pt-BR"/>
          <w14:ligatures w14:val="none"/>
        </w:rPr>
        <w:t> </w:t>
      </w:r>
      <w:r w:rsidRPr="00B64574">
        <w:rPr>
          <w:rFonts w:ascii="Arial" w:eastAsia="Times New Roman" w:hAnsi="Arial" w:cs="Arial"/>
          <w:color w:val="666666"/>
          <w:kern w:val="0"/>
          <w:sz w:val="19"/>
          <w:szCs w:val="19"/>
          <w:lang w:eastAsia="pt-BR"/>
          <w14:ligatures w14:val="none"/>
        </w:rPr>
        <w:t>| Edição: 90</w:t>
      </w:r>
      <w:r w:rsidRPr="00B64574">
        <w:rPr>
          <w:rFonts w:ascii="Arial" w:eastAsia="Times New Roman" w:hAnsi="Arial" w:cs="Arial"/>
          <w:color w:val="555555"/>
          <w:kern w:val="0"/>
          <w:sz w:val="24"/>
          <w:szCs w:val="24"/>
          <w:lang w:eastAsia="pt-BR"/>
          <w14:ligatures w14:val="none"/>
        </w:rPr>
        <w:t> </w:t>
      </w:r>
      <w:r w:rsidRPr="00B64574">
        <w:rPr>
          <w:rFonts w:ascii="Arial" w:eastAsia="Times New Roman" w:hAnsi="Arial" w:cs="Arial"/>
          <w:color w:val="666666"/>
          <w:kern w:val="0"/>
          <w:sz w:val="19"/>
          <w:szCs w:val="19"/>
          <w:lang w:eastAsia="pt-BR"/>
          <w14:ligatures w14:val="none"/>
        </w:rPr>
        <w:t>| Seção: 1</w:t>
      </w:r>
      <w:r w:rsidRPr="00B64574">
        <w:rPr>
          <w:rFonts w:ascii="Arial" w:eastAsia="Times New Roman" w:hAnsi="Arial" w:cs="Arial"/>
          <w:color w:val="555555"/>
          <w:kern w:val="0"/>
          <w:sz w:val="24"/>
          <w:szCs w:val="24"/>
          <w:lang w:eastAsia="pt-BR"/>
          <w14:ligatures w14:val="none"/>
        </w:rPr>
        <w:t> </w:t>
      </w:r>
      <w:r w:rsidRPr="00B64574">
        <w:rPr>
          <w:rFonts w:ascii="Arial" w:eastAsia="Times New Roman" w:hAnsi="Arial" w:cs="Arial"/>
          <w:color w:val="666666"/>
          <w:kern w:val="0"/>
          <w:sz w:val="19"/>
          <w:szCs w:val="19"/>
          <w:lang w:eastAsia="pt-BR"/>
          <w14:ligatures w14:val="none"/>
        </w:rPr>
        <w:t>| Página: 2</w:t>
      </w:r>
    </w:p>
    <w:p w14:paraId="714ED600" w14:textId="77777777" w:rsidR="00B64574" w:rsidRPr="00B64574" w:rsidRDefault="00B64574" w:rsidP="00B64574">
      <w:pPr>
        <w:shd w:val="clear" w:color="auto" w:fill="FFFFFF"/>
        <w:spacing w:before="30" w:after="45" w:line="240" w:lineRule="auto"/>
        <w:jc w:val="center"/>
        <w:rPr>
          <w:rFonts w:ascii="Arial" w:eastAsia="Times New Roman" w:hAnsi="Arial" w:cs="Arial"/>
          <w:color w:val="555555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b/>
          <w:bCs/>
          <w:color w:val="666666"/>
          <w:kern w:val="0"/>
          <w:sz w:val="19"/>
          <w:szCs w:val="19"/>
          <w:lang w:eastAsia="pt-BR"/>
          <w14:ligatures w14:val="none"/>
        </w:rPr>
        <w:t>Órgão: Atos do Poder Executivo</w:t>
      </w:r>
    </w:p>
    <w:p w14:paraId="7874BF79" w14:textId="77777777" w:rsidR="00B64574" w:rsidRPr="00B64574" w:rsidRDefault="00B64574" w:rsidP="00B64574">
      <w:pPr>
        <w:shd w:val="clear" w:color="auto" w:fill="FFFFFF"/>
        <w:spacing w:before="450" w:after="450" w:line="240" w:lineRule="auto"/>
        <w:jc w:val="center"/>
        <w:rPr>
          <w:rFonts w:ascii="Arial" w:eastAsia="Times New Roman" w:hAnsi="Arial" w:cs="Arial"/>
          <w:b/>
          <w:bCs/>
          <w:caps/>
          <w:color w:val="162937"/>
          <w:kern w:val="0"/>
          <w:sz w:val="29"/>
          <w:szCs w:val="29"/>
          <w:lang w:eastAsia="pt-BR"/>
          <w14:ligatures w14:val="none"/>
        </w:rPr>
      </w:pPr>
      <w:r w:rsidRPr="00B64574">
        <w:rPr>
          <w:rFonts w:ascii="Arial" w:eastAsia="Times New Roman" w:hAnsi="Arial" w:cs="Arial"/>
          <w:b/>
          <w:bCs/>
          <w:caps/>
          <w:color w:val="162937"/>
          <w:kern w:val="0"/>
          <w:sz w:val="29"/>
          <w:szCs w:val="29"/>
          <w:lang w:eastAsia="pt-BR"/>
          <w14:ligatures w14:val="none"/>
        </w:rPr>
        <w:t>DECRETO Nº 11.525, DE 11 DE MAIO DE 2023</w:t>
      </w:r>
    </w:p>
    <w:p w14:paraId="31E2805D" w14:textId="77777777" w:rsidR="00B64574" w:rsidRPr="00B64574" w:rsidRDefault="00B64574" w:rsidP="00B64574">
      <w:pPr>
        <w:shd w:val="clear" w:color="auto" w:fill="FFFFFF"/>
        <w:spacing w:after="450" w:line="240" w:lineRule="auto"/>
        <w:ind w:left="54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Regulamenta a Lei Complementar nº 195, de 8 de julho de 2022, que dispõe sobre o apoio financeiro da União aos Estados, ao Distrito Federal e aos Municípios para garantir ações emergenciais direcionadas ao setor cultural.</w:t>
      </w:r>
    </w:p>
    <w:p w14:paraId="59634FEB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O PRESIDENTE DA REPÚBLICA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, no uso da atribuição que lhe confere o art.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84,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, inciso IV, da Constituição, e tendo em vista o disposto na Lei Complementar nº 195, de 8 de julho de 2022,</w:t>
      </w:r>
    </w:p>
    <w:p w14:paraId="51FDC5EF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 xml:space="preserve">D E C R E T </w:t>
      </w:r>
      <w:proofErr w:type="gramStart"/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A :</w:t>
      </w:r>
      <w:proofErr w:type="gramEnd"/>
    </w:p>
    <w:p w14:paraId="0F9F3A51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CAPÍTULO I</w:t>
      </w:r>
    </w:p>
    <w:p w14:paraId="6A8CFCC1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DISPOSIÇÕES GERAIS</w:t>
      </w:r>
    </w:p>
    <w:p w14:paraId="3DC97552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1º Este Decreto regulamenta a Lei Complementar nº 195, de 8 de julho de 2022, que dispõe sobre o apoio financeiro da União aos Estados, ao Distrito Federal e aos Municípios para garantir ações emergenciais direcionadas ao setor cultural.</w:t>
      </w:r>
    </w:p>
    <w:p w14:paraId="74A69245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2º Conforme o disposto na Lei Complementar nº 195, de 2022, a União entregará aos Estados, ao Distrito Federal e aos Municípios o valor de R$3.862.000.000,00 (três bilhões oitocentos e sessenta e dois milhões de reais), observada a seguinte distribuição:</w:t>
      </w:r>
    </w:p>
    <w:p w14:paraId="354645D9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audiovisual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- serão disponibilizados R$ 2.797.000.000,00 (dois bilhões setecentos e noventa e sete milhões de reais) por meio de editais, chamamentos públicos, prêmios ou outras formas de seleção pública simplificadas, destinados exclusivamente a ações na modalidade de recursos não reembolsáveis no audiovisual; e</w:t>
      </w:r>
    </w:p>
    <w:p w14:paraId="63F25525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demais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áreas culturais - serão disponibilizados R$ 1.065.000.000,00 (um bilhão e sessenta e cinco milhões de reais) por meio de editais, chamamentos públicos, prêmios, aquisição de bens e serviços ou outras formas de seleção pública simplificadas, destinados exclusivamente a ações na modalidade de recursos não reembolsáveis vinculadas às áreas culturais, exceto ao audiovisual.</w:t>
      </w:r>
    </w:p>
    <w:p w14:paraId="62B958F0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lastRenderedPageBreak/>
        <w:t>§ 1º As ações executadas por meio do disposto neste Decreto serão realizadas em conformidade com o Sistema Nacional de Cultura, organizado em regime de colaboração, de forma descentralizada e participativa, nos termos do disposto no art. 216-A da Constituição, especialmente quanto à pactuação entre os entes federativos e a sociedade civil no processo de gestão.</w:t>
      </w:r>
    </w:p>
    <w:p w14:paraId="7B95C99F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2º Os procedimentos de execução dos recursos observarão o disposto no Decreto nº 11.453, de 23 de março de 2023, de acordo com a modalidade de fomento.</w:t>
      </w:r>
    </w:p>
    <w:p w14:paraId="3C64E22E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CAPÍTULO II</w:t>
      </w:r>
    </w:p>
    <w:p w14:paraId="0545DDA6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DOS RECURSOS DESTINADOS AO AUDIOVISUAL</w:t>
      </w:r>
    </w:p>
    <w:p w14:paraId="6454E219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Art. 3º A destinação dos recursos previstos no inciso I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art. 2º observará a seguinte divisão:</w:t>
      </w:r>
    </w:p>
    <w:p w14:paraId="2772CD26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I - R$ 1.957.000.000,00 (um bilhão novecentos e cinquenta e sete milhões de reais) para apoio a produções audiovisuais, de forma exclusiva ou em complemento a outras formas de financiamento, inclusive aquelas originárias de recursos públicos ou de financiamento estrangeiro;</w:t>
      </w:r>
    </w:p>
    <w:p w14:paraId="7A34EC24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II - R$ 447.500.000,00 (quatrocentos e quarenta e sete milhões e quinhentos mil reais) para apoio a reformas, restauros, manutenção e funcionamento de salas de cinemas públicas ou privadas, incluída a adequação a protocolos sanitários relativos à pandemia de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covid-19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, bem como de cinemas de rua e de cinemas itinerantes;</w:t>
      </w:r>
    </w:p>
    <w:p w14:paraId="5B5409E7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III - R$ 224.700.000,00 (duzentos e vinte e quatro milhões e setecentos mil reais) para:</w:t>
      </w:r>
    </w:p>
    <w:p w14:paraId="420CC141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a) capacitação, formação e qualificação em audiovisual;</w:t>
      </w:r>
    </w:p>
    <w:p w14:paraId="7E5EA863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b) apoio a cineclubes;</w:t>
      </w:r>
    </w:p>
    <w:p w14:paraId="106ECCA3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c) realização de festivais e de mostras de produções audiovisuais;</w:t>
      </w:r>
    </w:p>
    <w:p w14:paraId="05AD47A2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d) realização de rodadas de negócios para o setor audiovisual;</w:t>
      </w:r>
    </w:p>
    <w:p w14:paraId="63A1D117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e) memória, preservação e digitalização de obras ou acervos audiovisuais;</w:t>
      </w:r>
    </w:p>
    <w:p w14:paraId="51DF44E2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f) apoio a observatórios, a publicações especializadas e a pesquisas sobre audiovisual; ou</w:t>
      </w:r>
    </w:p>
    <w:p w14:paraId="7D6270A8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g) desenvolvimento de cidades de locação; e</w:t>
      </w:r>
    </w:p>
    <w:p w14:paraId="4488E613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IV - R$ 167.800.000,00 (cento e sessenta e sete milhões e oitocentos mil reais) destinados exclusivamente aos Estados e ao Distrito Federal para apoio a:</w:t>
      </w:r>
    </w:p>
    <w:p w14:paraId="52EF4948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a) microempresas e pequenas empresas do setor audiovisual;</w:t>
      </w:r>
    </w:p>
    <w:p w14:paraId="40DB3BF4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b) serviços independentes de vídeo por demanda cujo catálogo de obras seja composto de, no mínimo, setenta por cento de produções nacionais;</w:t>
      </w:r>
    </w:p>
    <w:p w14:paraId="3597CF97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c) licenciamento de produções audiovisuais nacionais para exibição em redes de televisão públicas; e</w:t>
      </w:r>
    </w:p>
    <w:p w14:paraId="1C03A66E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lastRenderedPageBreak/>
        <w:t>d) distribuição de produções audiovisuais nacionais.</w:t>
      </w:r>
    </w:p>
    <w:p w14:paraId="531483E1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§ 1º Na hipótese de não haver quantitativo suficiente de propostas aptas para fazer jus ao montante inicialmente disponibilizado no chamamento público para um dos incisos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, poderá ser realizado o remanejamento dos saldos existentes para contemplação de propostas aptas nos demais incisos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, conforme as regras específicas previstas nos editais locais, observada a necessidade de posterior comunicação das alterações ao Ministério da Cultura.</w:t>
      </w:r>
    </w:p>
    <w:p w14:paraId="5514383D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§ 2º Para fins do disposto no inciso I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, serão compreendidos na categoria de apoio à produção audiovisual projetos que tenham como objeto:</w:t>
      </w:r>
    </w:p>
    <w:p w14:paraId="03BE4C6A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desenvolvimento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de roteiro;</w:t>
      </w:r>
    </w:p>
    <w:p w14:paraId="3686203A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núcleos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criativos;</w:t>
      </w:r>
    </w:p>
    <w:p w14:paraId="528F20DE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III - produção de curtas, médias e longas-metragens;</w:t>
      </w:r>
    </w:p>
    <w:p w14:paraId="57ECCFA5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IV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séries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e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webséries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;</w:t>
      </w:r>
    </w:p>
    <w:p w14:paraId="32E6D578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V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telefilmes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nos gêneros ficção, documentário e animação;</w:t>
      </w:r>
    </w:p>
    <w:p w14:paraId="5C981EFB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VI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produção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de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games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;</w:t>
      </w:r>
    </w:p>
    <w:p w14:paraId="52E95A79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VII - videoclipes;</w:t>
      </w:r>
    </w:p>
    <w:p w14:paraId="5D40C53F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VIII - etapas de finalização;</w:t>
      </w:r>
    </w:p>
    <w:p w14:paraId="18DBF44E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IX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pós-produção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; e</w:t>
      </w:r>
    </w:p>
    <w:p w14:paraId="493815D3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X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outros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formatos de produção audiovisual.</w:t>
      </w:r>
    </w:p>
    <w:p w14:paraId="07AA100E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§ 3º Nas categorias de longas-metragens, séries e telefilmes a que se referem os incisos III, IV e V do § 2º, a execução será realizada obrigatoriamente por empresas produtoras brasileiras independentes, conforme o disposto no inciso XIX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art. 2º da Lei nº 12.485, de 12 de setembro de 2011.</w:t>
      </w:r>
    </w:p>
    <w:p w14:paraId="223698BE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§ 4º Nos editais que prevejam complementação de recursos, uma produção audiovisual pode receber o apoio previsto no inciso I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de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mais de um ente federativo, observada a necessidade de explicitação das fontes de financiamento que serão utilizadas para cada item ou etapa da produção.</w:t>
      </w:r>
    </w:p>
    <w:p w14:paraId="238E7895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§ 5º Para fins do disposto no inciso II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:</w:t>
      </w:r>
    </w:p>
    <w:p w14:paraId="2BB4B184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considera-se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sala de cinema o recinto destinado, ainda que não exclusivamente, ao serviço de exibição aberta ao público regular de obras audiovisuais para fruição coletiva, admitida a possibilidade de ampliação da vocação de outro espaço cultural já existente;</w:t>
      </w:r>
    </w:p>
    <w:p w14:paraId="4E0AD012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são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elegíveis ao recebimento dos recursos:</w:t>
      </w:r>
    </w:p>
    <w:p w14:paraId="0FDD2872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a) as salas de cinema públicas;</w:t>
      </w:r>
    </w:p>
    <w:p w14:paraId="32655217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b) as salas de cinema privadas que não componham redes; e</w:t>
      </w:r>
    </w:p>
    <w:p w14:paraId="740B0A6E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c) as redes de salas de cinema com até vinte e cinco salas no território nacional; e</w:t>
      </w:r>
    </w:p>
    <w:p w14:paraId="669C0223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lastRenderedPageBreak/>
        <w:t>III - o ente federativo poderá optar pela execução direta dos recursos destinados a salas de cinema públicas de sua responsabilidade, observadas as regras de contratação pertinentes à modalidade de contratação pública por ele definida.</w:t>
      </w:r>
    </w:p>
    <w:p w14:paraId="0A0AF360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§ 6º Para fins do disposto no inciso II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, considera-se cinema de rua ou cinema itinerante o serviço de exibição aberta ao público regular de obras audiovisuais para fruição coletiva em espaços abertos, em locais públicos e em equipamentos móveis, de modo gratuito, admitida a possibilidade de aplicação dos recursos em projetos já existentes ou novos, públicos ou privados.</w:t>
      </w:r>
    </w:p>
    <w:p w14:paraId="61276A9D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§ 7º As ações de capacitação, de formação e de qualificação a que se refere a alínea "a" do inciso III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serão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oferecidas gratuitamente aos participantes.</w:t>
      </w:r>
    </w:p>
    <w:p w14:paraId="4031E07A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§ 8º Para fins do disposto na alínea "g" do inciso III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, a categoria de desenvolvimento de cidades de locação compreende as políticas públicas de estímulo ao mercado audiovisual mediante o apoio, a promoção e a atração de produções audiovisuais para os Estados e os Municípios, executadas diretamente pelo ente público ou por meio de parcerias com entidades da sociedade civil.</w:t>
      </w:r>
    </w:p>
    <w:p w14:paraId="547D812F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§ 9º Para fins do disposto na alínea "a" do inciso IV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:</w:t>
      </w:r>
    </w:p>
    <w:p w14:paraId="6DD1D23F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o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apoio se restringirá ao agente econômico audiovisual, assim compreendidas as pessoas jurídicas comprovadamente atuantes no setor audiovisual, em atividades que atendam à cadeia produtiva nas etapas de pré-produção, produção, pós-produção e distribuição; e</w:t>
      </w:r>
    </w:p>
    <w:p w14:paraId="257BA37D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serão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consideradas despesas de desenvolvimento do espaço ou das atividades culturais aquelas de que trata o parágrafo único do art. 9º da Lei Complementar nº 195, de 2022.</w:t>
      </w:r>
    </w:p>
    <w:p w14:paraId="133BBBC5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§ 10. Para fins do disposto na alínea "d" do inciso IV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:</w:t>
      </w:r>
    </w:p>
    <w:p w14:paraId="759F215F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poderão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ser compreendidas na categoria de apoio à distribuição de produções audiovisuais nacionais as exibições realizadas em circuitos de salas de cinema comerciais, em salas públicas, em circuitos alternativos e em projetos de distribuição de impacto, e as ações de comercialização nos segmentos de TV aberta, TV por assinatura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e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streaming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e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nos demais segmentos de mercado; e</w:t>
      </w:r>
    </w:p>
    <w:p w14:paraId="74D02B2D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o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apoio se restringirá a:</w:t>
      </w:r>
    </w:p>
    <w:p w14:paraId="71154C50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a) empresas produtoras brasileiras independentes, conforme o disposto no inciso XIX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art. 2º da Lei nº 12.485, de 2011; e</w:t>
      </w:r>
    </w:p>
    <w:p w14:paraId="591D99B7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b) empresas distribuidoras constituídas sob as leis brasileiras, com administração no País, com setenta por cento do capital social total e votante de titularidade, direta ou indireta, de brasileiros natos ou naturalizados há mais de dez anos, e que não sejam controladoras, controladas ou coligadas a programadoras, empacotadoras ou concessionárias de serviço de radiodifusão de sons e imagens, conforme o disposto no art. 2º da Lei nº 12.485, de 2011.</w:t>
      </w:r>
    </w:p>
    <w:p w14:paraId="5F9ED6AC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CAPÍTULO III</w:t>
      </w:r>
    </w:p>
    <w:p w14:paraId="6B9E727A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lastRenderedPageBreak/>
        <w:t>DOS RECURSOS DESTINADOS ÀS DEMAIS ÁREAS CULTURAIS</w:t>
      </w:r>
    </w:p>
    <w:p w14:paraId="389AA509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Art. 4º Os recursos a que se refere o inciso II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art. 2º serão disponibilizados conforme os procedimentos previstos no Decreto nº 11.453, de 2023, de acordo com a modalidade de fomento, para:</w:t>
      </w:r>
    </w:p>
    <w:p w14:paraId="1FBA27B5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apoio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ao desenvolvimento de atividades de economia criativa e de economia solidária;</w:t>
      </w:r>
    </w:p>
    <w:p w14:paraId="439211A3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apoio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, de forma exclusiva ou em complemento a outras formas de financiamento, a agentes, iniciativas, cursos, produções ou manifestações culturais, incluídas a realização de atividades artísticas e culturais que possam ser transmitidas pela internet ou disponibilizadas por meio de redes sociais ou de plataformas digitais e a circulação de atividades artísticas e culturais já existentes; e</w:t>
      </w:r>
    </w:p>
    <w:p w14:paraId="55BB6D9C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III - desenvolvimento de espaços artísticos e culturais, de microempreendedores individuais, de microempresas e de pequenas empresas culturais, de cooperativas, de instituições e de organizações culturais comunitárias que tiveram as suas atividades interrompidas por efeito das medidas de isolamento social para o enfrentamento da pandemia de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covid-19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.</w:t>
      </w:r>
    </w:p>
    <w:p w14:paraId="1268D9E2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§ 1º É vedada a utilização dos recursos a que se refere o inciso II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art. 2º para apoio ao audiovisual, permitido o registro em vídeo ou a transmissão pela internet dos projetos apoiados na forma prevista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no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deste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artigo, desde que não se enquadrem como obras cinematográficas ou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videofonográficas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ou como qualquer outro tipo de produção audiovisual caracterizada no art. 1º da Medida Provisória nº 2.228-1, de 6 de setembro de 2001.</w:t>
      </w:r>
    </w:p>
    <w:p w14:paraId="5B7B6F45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§ 2º Os entes federativos poderão utilizar os recursos a que se refere o inciso II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art. 2º para executar programas, projetos e ações próprios relacionados com as políticas culturais do Ministério da Cultura, como:</w:t>
      </w:r>
    </w:p>
    <w:p w14:paraId="29687E70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I - Política Nacional de Cultura Viva;</w:t>
      </w:r>
    </w:p>
    <w:p w14:paraId="28C75665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II - Política Nacional das Artes;</w:t>
      </w:r>
    </w:p>
    <w:p w14:paraId="024A3404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III - Plano Nacional de Livro, Leitura e Literatura;</w:t>
      </w:r>
    </w:p>
    <w:p w14:paraId="73BA3054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IV - Política Nacional de Museus;</w:t>
      </w:r>
    </w:p>
    <w:p w14:paraId="48DCED2B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V - Política Nacional de Patrimônio Cultural;</w:t>
      </w:r>
    </w:p>
    <w:p w14:paraId="5E8375B1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VI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políticas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relacionadas a culturas afro-brasileiras;</w:t>
      </w:r>
    </w:p>
    <w:p w14:paraId="7446F6CB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VII - políticas relacionadas a culturas populares;</w:t>
      </w:r>
    </w:p>
    <w:p w14:paraId="6176AE60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VIII - políticas relacionadas a culturas indígenas;</w:t>
      </w:r>
    </w:p>
    <w:p w14:paraId="210C709E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IX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programas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de promoção da diversidade cultural;</w:t>
      </w:r>
    </w:p>
    <w:p w14:paraId="75492BC5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X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programas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de formação artística e cultural; e</w:t>
      </w:r>
    </w:p>
    <w:p w14:paraId="1321249F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XI - outras constantes no portfólio de ações publicado no sítio eletrônico do Ministério da Cultura e na plataforma Transferegov.br.</w:t>
      </w:r>
    </w:p>
    <w:p w14:paraId="7986AB92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CAPÍTULO IV</w:t>
      </w:r>
    </w:p>
    <w:p w14:paraId="3E70E8A4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lastRenderedPageBreak/>
        <w:t xml:space="preserve">DOS CRITÉRIOS PARA DISTRIBUIÇÃO DE RECURSOS AOS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ESTADOS,AO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DISTRITO FEDERAL E AOS MUNICÍPIOS</w:t>
      </w:r>
    </w:p>
    <w:p w14:paraId="0C99A4F0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5º A distribuição de recursos aos Estados, ao Distrito Federal e aos Municípios observará o disposto nos art. 5º e art. 8º da Lei Complementar nº 195, de 2022.</w:t>
      </w:r>
    </w:p>
    <w:p w14:paraId="7D5937FE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§ 1º Os recursos previstos no inciso II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art. 2º e nos incisos I, II e III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art. 3º serão distribuídos da seguinte forma:</w:t>
      </w:r>
    </w:p>
    <w:p w14:paraId="62C5FCF0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cinquenta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por cento serão destinados aos Estados e ao Distrito Federal, dos quais:</w:t>
      </w:r>
    </w:p>
    <w:p w14:paraId="60857228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a) vinte por cento de acordo com os critérios de rateio do Fundo de Participação dos Estados e do Distrito Federal - FPE; e</w:t>
      </w:r>
    </w:p>
    <w:p w14:paraId="7A7942BE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b) oitenta por cento proporcionalmente à população; e</w:t>
      </w:r>
    </w:p>
    <w:p w14:paraId="1902678A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cinquenta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por cento serão destinados aos Municípios e ao Distrito Federal, dos quais:</w:t>
      </w:r>
    </w:p>
    <w:p w14:paraId="0C4ADDFF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a) vinte por cento de acordo com os critérios de rateio do Fundo de Participação dos Municípios - FPM; e</w:t>
      </w:r>
    </w:p>
    <w:p w14:paraId="2F333057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b) oitenta por cento proporcionalmente à população.</w:t>
      </w:r>
    </w:p>
    <w:p w14:paraId="59D255FE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§ 2º Os recursos previstos no inciso IV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art. 3º serão distribuídos somente aos Estados e ao Distrito Federal, dos quais:</w:t>
      </w:r>
    </w:p>
    <w:p w14:paraId="7539C9B0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vinte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por cento de acordo com os critérios de rateio do FPE; e</w:t>
      </w:r>
    </w:p>
    <w:p w14:paraId="44FB4BAA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oitenta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por cento proporcionalmente à população.</w:t>
      </w:r>
    </w:p>
    <w:p w14:paraId="779293CB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3º O Ministro de Estado da Cultura editará ato com a indicação dos valores correspondentes ao rateio dos recursos entre os entes federativos.</w:t>
      </w:r>
    </w:p>
    <w:p w14:paraId="4D3CC72F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CAPÍTULO V</w:t>
      </w:r>
    </w:p>
    <w:p w14:paraId="2FB23A68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DOS PROCEDIMENTOS PARA O RECEBIMENTO DE RECURSOS E DAS TRANSFERÊNCIAS PARA OS ESTADOS, O DISTRITO FEDERAL E OS MUNICÍPIOS</w:t>
      </w:r>
    </w:p>
    <w:p w14:paraId="63776392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6º Os recursos de que trata o art. 2º serão repassados pela União aos Estados, ao Distrito Federal e aos Municípios de acordo com o cronograma de pagamentos a ser divulgado pelo Ministério da Cultura.</w:t>
      </w:r>
    </w:p>
    <w:p w14:paraId="7633D64A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7º Após a abertura da plataforma Transferegov.br, os Estados, o Distrito Federal e os Municípios deverão se manifestar para o recebimento dos recursos, por meio do cadastro dos respectivos planos de ação, no prazo de sessenta dias.</w:t>
      </w:r>
    </w:p>
    <w:p w14:paraId="3DB0D78F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1º No cadastro do plano de ação, o ente federativo expressará sua opção por receber:</w:t>
      </w:r>
    </w:p>
    <w:p w14:paraId="444A5A65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apenas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os recursos destinados ao apoio ao audiovisual, previstos no inciso I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art. 2º;</w:t>
      </w:r>
    </w:p>
    <w:p w14:paraId="737ABF89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apenas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os recursos destinados ao apoio às demais áreas culturais, previstos no inciso II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art. 2º; ou</w:t>
      </w:r>
    </w:p>
    <w:p w14:paraId="4712EBB9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lastRenderedPageBreak/>
        <w:t>III - os recursos a que se referem os incisos I e II.</w:t>
      </w:r>
    </w:p>
    <w:p w14:paraId="3BE9E2E9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2º Os recursos serão recebidos e geridos em contas específicas, abertas automaticamente em banco público integrado na plataforma Transferegov.br, por meio da qual todas as movimentações de saída de recursos serão classificadas e identificadas.</w:t>
      </w:r>
    </w:p>
    <w:p w14:paraId="16B2E228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3º O Ministério da Cultura divulgará lista com a relação integral dos entes federativos e com a indicação daqueles que solicitaram a adesão.</w:t>
      </w:r>
    </w:p>
    <w:p w14:paraId="679AE661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4º No cadastro na plataforma Transferegov.br, o ente federativo informará no plano de ação:</w:t>
      </w:r>
    </w:p>
    <w:p w14:paraId="3C850CE0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agência de relacionamento da instituição bancária para geração de contas específicas para as quais os recursos serão transferidos;</w:t>
      </w:r>
    </w:p>
    <w:p w14:paraId="574BCDF5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metas e as ações previstas; e</w:t>
      </w:r>
    </w:p>
    <w:p w14:paraId="12290F04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III - a forma como os recursos recebidos serão executados.</w:t>
      </w:r>
    </w:p>
    <w:p w14:paraId="4C31CC37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8º Os Municípios poderão optar, no prazo de sessenta dias, contado da data de abertura da plataforma Transferegov.br, por solicitar e executar os recursos por meio de consórcio público intermunicipal que possua previsão, em seu protocolo de intenções, para atuar no setor da cultura, desde que notifiquem o Ministério da Cultura, observadas as seguintes condições:</w:t>
      </w:r>
    </w:p>
    <w:p w14:paraId="2D7449ED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os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valores que podem ser solicitados pelos consórcios corresponderão ao somatório dos valores atribuídos a cada Município consorciado;</w:t>
      </w:r>
    </w:p>
    <w:p w14:paraId="6144CACF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opção de que trata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implica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 desistência da adesão individual pelo Município;</w:t>
      </w:r>
    </w:p>
    <w:p w14:paraId="27254C81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III - a notificação ao Ministério da Cultura a que se refere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:</w:t>
      </w:r>
    </w:p>
    <w:p w14:paraId="5CF4BA84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a) será assinada pelos Prefeitos dos Municípios consorciados; e</w:t>
      </w:r>
    </w:p>
    <w:p w14:paraId="33A448FF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b) será considerada inválida, caso seja constatado o recebimento individual de recursos por qualquer integrante do consórcio;</w:t>
      </w:r>
    </w:p>
    <w:p w14:paraId="40913FD2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IV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os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consórcios garantirão a promoção de discussão e consulta junto à comunidade cultural e o fortalecimento do Sistema Nacional de Cultura nos Municípios integrantes; e</w:t>
      </w:r>
    </w:p>
    <w:p w14:paraId="1F4A2552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V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os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chamamentos públicos realizados pelos consórcios observarão os princípios da desconcentração e da democratização dos recursos entre os Municípios consorciados, garantida a oferta, a cada integrante, de percentual proporcional ao recurso que seria recebido originalmente pelo Município.</w:t>
      </w:r>
    </w:p>
    <w:p w14:paraId="7A867FF2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9º Os recursos repassados serão objeto de adequação orçamentária pelos entes federativos beneficiários, nos seguintes prazos, contados da data da descentralização:</w:t>
      </w:r>
    </w:p>
    <w:p w14:paraId="14E759DB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I - Municípios - cento e oitenta dias; e</w:t>
      </w:r>
    </w:p>
    <w:p w14:paraId="0A6EF29D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II - Estados e Distrito Federal - cento e vinte dias.</w:t>
      </w:r>
    </w:p>
    <w:p w14:paraId="5D5E3285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lastRenderedPageBreak/>
        <w:t xml:space="preserve">§ 1º Os entes federativos beneficiários comprovarão a adequação orçamentária de que trata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mediante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o envio da publicação do ato que a formalizou, por meio da plataforma Transferegov.br.</w:t>
      </w:r>
    </w:p>
    <w:p w14:paraId="01C50F15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2º A destinação de recursos por meio de consórcio público intermunicipal suprirá a necessidade de adequação orçamentária de que trata este artigo, observado o disposto na Lei nº 11.107, de 6 de abril de 2005, e no Decreto nº 6.017, de 17 de janeiro de 2007.</w:t>
      </w:r>
    </w:p>
    <w:p w14:paraId="7FE04848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CAPÍTULO VI</w:t>
      </w:r>
    </w:p>
    <w:p w14:paraId="5A41E014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 COMPROMISSO DOS ENTES FEDERATIVOS COM O SISTEMA NACIONAL DE CULTURA</w:t>
      </w:r>
    </w:p>
    <w:p w14:paraId="2C3E3BA7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10. Os entes federativos que receberem os recursos de que trata este Decreto se comprometerão a consolidar os seus sistemas de cultura ou, se inexistentes, a implantá-los, com a instituição dos conselhos, dos planos e dos fundos estaduais, distrital e municipais de cultura, nos termos do disposto no art. 216-A da Constituição.</w:t>
      </w:r>
    </w:p>
    <w:p w14:paraId="6A834E15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§ 1º O compromisso a que se refere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será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assumido por meio de termo na plataforma Transferegov.br e os entes federativos deverão observar e cumprir os prazos e as especificações estabelecidos relacionados ao Sistema Nacional de Cultura.</w:t>
      </w:r>
    </w:p>
    <w:p w14:paraId="4A57625B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2º Para fins de fortalecimento do Sistema Nacional de Cultura por meio do subsídio à construção de sistema de indicadores culturais, os Estados, o Distrito Federal e os Municípios, observados os prazos e as diretrizes estabelecidas pelo Ministério da Cultura, compartilharão com esse Ministério, nos formatos solicitados, as informações relativas a cadastros de projetos, concorrentes e destinatários locais utilizados na execução da Lei Complementar nº 195, de 2022, e da Lei nº 14.017, de 29 de junho de 2020.</w:t>
      </w:r>
    </w:p>
    <w:p w14:paraId="15651806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CAPÍTULO VII</w:t>
      </w:r>
    </w:p>
    <w:p w14:paraId="62576549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DA EXECUÇÃO DOS RECURSOS RECEBIDOS PELOS ENTES FEDERATIVOS</w:t>
      </w:r>
    </w:p>
    <w:p w14:paraId="4DD589D2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11. A execução dos recursos de que trata este Decreto pelos entes federativos ocorrerá por meio de procedimentos públicos de seleção, observado o disposto no Decreto nº 11.453, de 2023.</w:t>
      </w:r>
    </w:p>
    <w:p w14:paraId="14151123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1º As contas bancárias de que trata o § 2º do art. 7º possuirão aplicação automática que gerará rendimentos de ativos financeiros, os quais poderão ser aplicados para a consecução do objeto do plano de ação, dispensada a necessidade de autorização prévia do Ministério da Cultura.</w:t>
      </w:r>
    </w:p>
    <w:p w14:paraId="073F2903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2º É vedada a utilização dos recursos, pelos entes federativos, para o custeio exclusivo de suas políticas e de seus programas regulares de apoio à cultura e às artes, permitida a suplementação de editais, chamamentos públicos ou outros instrumentos e programas de apoio e financiamento à cultura já existentes que mantenham correlação com o disposto neste Decreto, observadas as seguintes condições:</w:t>
      </w:r>
    </w:p>
    <w:p w14:paraId="1D14FB89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será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mantido, com recursos de orçamento próprio, no mínimo, o mesmo valor aportado em edição anterior; e</w:t>
      </w:r>
    </w:p>
    <w:p w14:paraId="49026706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lastRenderedPageBreak/>
        <w:t xml:space="preserve">II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serão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identificados nos instrumentos os recursos utilizados para suplementação.</w:t>
      </w:r>
    </w:p>
    <w:p w14:paraId="7C372A1E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3º Os produtos artístico-culturais e as peças de divulgação das iniciativas apoiadas com os recursos exibirão as marcas do Governo federal, de acordo com as orientações técnicas do manual de aplicação de marcas a ser divulgado pelo Ministério da Cultura.</w:t>
      </w:r>
    </w:p>
    <w:p w14:paraId="6B57B20A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12. Os destinatários dos recursos previstos no art. 3º oferecerão contrapartida social no prazo e nas condições pactuadas com o gestor de cultura do Estado, do Distrito Federal ou do Município, incluída obrigatoriamente a realização de exibições gratuitas dos conteúdos selecionados, assegurados a acessibilidade de grupos com restrições e o direcionamento à rede de ensino da localidade.</w:t>
      </w:r>
    </w:p>
    <w:p w14:paraId="1E560E44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Parágrafo único. As salas de cinema beneficiadas com os recursos previstos no inciso II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art. 3º exibirão obras cinematográficas brasileiras de longa metragem em número de dias dez por cento superior ao estabelecido pela regulamentação a que se refere o art. 55 da Medida Provisória nº 2.228-1, de 2001, na forma prevista no edital ou regulamento do ente federativo no qual tenham sido selecionadas.</w:t>
      </w:r>
    </w:p>
    <w:p w14:paraId="666DF814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13. Os agentes culturais destinatários dos recursos previstos no art. 4º oferecerão como contrapartida, no prazo e nas condições pactuadas com o gestor local, a realização de:</w:t>
      </w:r>
    </w:p>
    <w:p w14:paraId="23D30C02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atividades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em espaços públicos de sua comunidade, de forma gratuita, ou atividades destinadas, prioritariamente:</w:t>
      </w:r>
    </w:p>
    <w:p w14:paraId="72805C0D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a) aos alunos e aos professores de escolas públicas, de universidades públicas ou de universidades privadas que tenham estudantes selecionados pelo Programa Universidade para Todos - Prouni;</w:t>
      </w:r>
    </w:p>
    <w:p w14:paraId="415848D2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b) aos profissionais de saúde, preferencialmente aqueles envolvidos no combate à pandemia de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covid-19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; e</w:t>
      </w:r>
    </w:p>
    <w:p w14:paraId="72EE81EB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c) às pessoas integrantes de grupos e coletivos culturais e de associações comunitárias; e</w:t>
      </w:r>
    </w:p>
    <w:p w14:paraId="42FB0836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exibições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com interação popular por meio da internet, sempre que possível, ou exibições públicas, quando aplicável, com distribuição gratuita de ingressos para os grupos a que se refere o inciso I, em intervalos regulares.</w:t>
      </w:r>
    </w:p>
    <w:p w14:paraId="3376D290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CAPÍTULO VIII</w:t>
      </w:r>
    </w:p>
    <w:p w14:paraId="7078BB12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DA ACESSIBILIDADE</w:t>
      </w:r>
    </w:p>
    <w:p w14:paraId="62AD9CCB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14. O projeto, a iniciativa ou o espaço que concorra em seleção pública decorrente do disposto neste Decreto oferecerá medidas de acessibilidade física, atitudinal e comunicacional compatíveis com as características dos produtos resultantes do objeto, nos termos do disposto na Lei nº 13.146, de 6 de julho de 2015, de modo a contemplar:</w:t>
      </w:r>
    </w:p>
    <w:p w14:paraId="3965104E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no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aspecto arquitetônico, recursos de acessibilidade para permitir o acesso de pessoas com mobilidade reduzida ou idosas aos locais onde se 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lastRenderedPageBreak/>
        <w:t>realizam as atividades culturais e a espaços acessórios, como banheiros, áreas de alimentação e circulação;</w:t>
      </w:r>
    </w:p>
    <w:p w14:paraId="752F6423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no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aspecto comunicacional, recursos de acessibilidade para permitir o acesso de pessoas com deficiência intelectual, auditiva ou visual ao conteúdo dos produtos culturais gerados pelo projeto, pela iniciativa ou pelo espaço; e</w:t>
      </w:r>
    </w:p>
    <w:p w14:paraId="362190D2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III - no aspecto atitudinal, a contratação de colaboradores sensibilizados e capacitados para o atendimento de visitantes e usuários com diferentes deficiências e para o desenvolvimento de projetos culturais acessíveis desde a sua concepção, contempladas a participação de consultores e colaboradores com deficiência e a representatividade nas equipes dos espaços culturais e nas temáticas das exposições, dos espetáculos e das ofertas culturais em geral.</w:t>
      </w:r>
    </w:p>
    <w:p w14:paraId="40BD96BD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§ 1º Serão considerados recursos de acessibilidade comunicacional de que trata o inciso II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:</w:t>
      </w:r>
    </w:p>
    <w:p w14:paraId="444CB151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Língua Brasileira de Sinais - Libras;</w:t>
      </w:r>
    </w:p>
    <w:p w14:paraId="4D3B5667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o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sistema Braille;</w:t>
      </w:r>
    </w:p>
    <w:p w14:paraId="786E8F6C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III - o sistema de sinalização ou comunicação tátil;</w:t>
      </w:r>
    </w:p>
    <w:p w14:paraId="4481128D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IV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audiodescrição;</w:t>
      </w:r>
    </w:p>
    <w:p w14:paraId="26B18FDA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V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legendas; e</w:t>
      </w:r>
    </w:p>
    <w:p w14:paraId="04E875DE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VI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linguagem simples.</w:t>
      </w:r>
    </w:p>
    <w:p w14:paraId="64FE66B1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2º Especificamente para pessoas com deficiência, mecanismos de protagonismo e participação poderão ser concretizados também por meio das seguintes iniciativas, entre outras:</w:t>
      </w:r>
    </w:p>
    <w:p w14:paraId="0EB6721D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adaptação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de espaços culturais com residências inclusivas;</w:t>
      </w:r>
    </w:p>
    <w:p w14:paraId="084485E6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utilização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de tecnologias assistivas, ajudas técnicas e produtos com desenho universal;</w:t>
      </w:r>
    </w:p>
    <w:p w14:paraId="47D18758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III - medidas de prevenção e erradicação de barreiras atitudinais;</w:t>
      </w:r>
    </w:p>
    <w:p w14:paraId="4C421D0D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IV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contratação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de serviços de assistência por acompanhante; ou</w:t>
      </w:r>
    </w:p>
    <w:p w14:paraId="1F614CA6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V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oferta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de ações de formação e capacitação acessíveis a pessoas com deficiência.</w:t>
      </w:r>
    </w:p>
    <w:p w14:paraId="72C6365F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3º O material de divulgação dos produtos culturais resultantes do projeto, da iniciativa ou do espaço será disponibilizado em formatos acessíveis a pessoas com deficiência e conterá informações sobre os recursos de acessibilidade disponibilizados.</w:t>
      </w:r>
    </w:p>
    <w:p w14:paraId="3920D1F3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15. Os recursos a serem utilizados em medidas de acessibilidade estarão previstos nos custos do projeto, da iniciativa ou do espaço, assegurados, para essa finalidade, no mínimo, dez por cento do valor do projeto.</w:t>
      </w:r>
    </w:p>
    <w:p w14:paraId="3B231F6F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CAPÍTULO IX</w:t>
      </w:r>
    </w:p>
    <w:p w14:paraId="4D79BC17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DAS AÇÕES AFIRMATIVAS</w:t>
      </w:r>
    </w:p>
    <w:p w14:paraId="5231A53B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lastRenderedPageBreak/>
        <w:t>Art. 16. Na realização dos procedimentos públicos de seleção de que trata o art. 11 serão asseguradas medidas de democratização, desconcentração, descentralização e regionalização do investimento cultural, com a implementação de ações afirmativas.</w:t>
      </w:r>
    </w:p>
    <w:p w14:paraId="559CB155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§ 1º Os parâmetros para a adoção das medidas a que se refere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serão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estabelecidos em ato do Ministro de Estado da Cultura, considerados:</w:t>
      </w:r>
    </w:p>
    <w:p w14:paraId="774BEF1B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o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perfil do público a que a ação cultural é direcionada, os recortes de vulnerabilidade social e as especificidades territoriais;</w:t>
      </w:r>
    </w:p>
    <w:p w14:paraId="3720C7DC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o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objeto da ação cultural que aborde linguagens, expressões, manifestações e temáticas de grupos historicamente vulnerabilizados socialmente;</w:t>
      </w:r>
    </w:p>
    <w:p w14:paraId="7FA00FDF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III - os mecanismos de estímulo à participação e ao protagonismo de agentes culturais e equipes compostas de forma representativa por mulheres, pessoas negras, pessoas indígenas, comunidades tradicionais, inclusive de terreiro e quilombolas, populações nômades e povos ciganos, pessoas LGBTQIA+, pessoas com deficiência e outros grupos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minorizados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socialmente; e</w:t>
      </w:r>
    </w:p>
    <w:p w14:paraId="3A8DCCC2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IV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garantia de cotas com reserva de vagas para os projetos e as ações de, no mínimo:</w:t>
      </w:r>
    </w:p>
    <w:p w14:paraId="6CF4F3EF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a) vinte por cento para pessoas negras; e</w:t>
      </w:r>
    </w:p>
    <w:p w14:paraId="0C3F0047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b) dez por cento para pessoas indígenas.</w:t>
      </w:r>
    </w:p>
    <w:p w14:paraId="67FA5F5C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2º Os mecanismos de que trata o inciso III do § 1º serão implementados por meio de cotas, critérios diferenciados de pontuação, editais específicos ou qualquer outra modalidade de ação afirmativa, observadas a realidade local, a organização social do grupo, quando cabível, e a legislação aplicável.</w:t>
      </w:r>
    </w:p>
    <w:p w14:paraId="0B2935C6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3º° Para fins do disposto no inciso IV do § 1º:</w:t>
      </w:r>
    </w:p>
    <w:p w14:paraId="4700AF3E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pessoas negras ou indígenas que optarem por concorrer às vagas reservadas concorrerão concomitantemente às vagas destinadas à ampla concorrência;</w:t>
      </w:r>
    </w:p>
    <w:p w14:paraId="004FADDA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o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número de pessoas negras ou indígenas aprovadas nas vagas destinadas à ampla concorrência não será computado para fins de preenchimento das vagas reservadas;</w:t>
      </w:r>
    </w:p>
    <w:p w14:paraId="0BCD2CE3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III - em caso de desistência de pessoa negra ou indígena aprovada em vaga reservada, a vaga será preenchida pela pessoa negra ou indígena classificada na posição subsequente;</w:t>
      </w:r>
    </w:p>
    <w:p w14:paraId="593FA5C8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IV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na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hipótese de não haver propostas aptas em número suficiente para o preenchimento de uma das categorias de cotas, o número de vagas remanescentes será destinado para a outra categoria de reserva de vagas; e</w:t>
      </w:r>
    </w:p>
    <w:p w14:paraId="79C7BD0A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V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na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hipótese de, observado o disposto no inciso IV, o número de propostas permanecer insuficiente para o preenchimento das cotas, as vagas reservadas serão destinadas à ampla concorrência.</w:t>
      </w:r>
    </w:p>
    <w:p w14:paraId="7EAC1FEA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lastRenderedPageBreak/>
        <w:t>§ 4º Para fins de aprimoramento da política de ações afirmativas na cultura, os Estados, o Distrito Federal e os Municípios realizarão a coleta de informações relativas ao perfil étnico-racial dos destinatários da Lei Complementar nº 195, de 2022, e compartilharão essas informações com o Ministério da Cultura, nos formatos e nos prazos solicitados.</w:t>
      </w:r>
    </w:p>
    <w:p w14:paraId="2C515ACE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CAPÍTULO X</w:t>
      </w:r>
    </w:p>
    <w:p w14:paraId="481561FC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DOS PERCENTUAIS PARA OPERACIONALIZAÇÃO DOS RECURSOS RECEBIDOSPELOS ENTES FEDERATIVOS</w:t>
      </w:r>
    </w:p>
    <w:p w14:paraId="775CCF85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17. Os Estados, o Distrito Federal e os Municípios poderão utilizar até cinco por cento dos recursos recebidos para a operacionalização das ações de que trata este Decreto, observado o teto de R$ 6.000.000,00 (seis milhões de reais).</w:t>
      </w:r>
    </w:p>
    <w:p w14:paraId="3E920C64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18. O percentual a que se refere o art. 17 será utilizado exclusivamente com o objetivo de garantir mais qualificação, eficiência, eficácia e efetividade na execução dos recursos recebidos pelos entes federativos, por meio da celebração de parcerias com universidades e entidades sem fins lucrativos ou da contratação de serviços, como:</w:t>
      </w:r>
    </w:p>
    <w:p w14:paraId="03F22189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ferramentas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digitais de mapeamento, monitoramento, cadastro e inscrição de propostas;</w:t>
      </w:r>
    </w:p>
    <w:p w14:paraId="7AFD4A00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oficinas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, minicursos, atividades para sensibilização de novos públicos e realização de busca ativa para inscrição de propostas;</w:t>
      </w:r>
    </w:p>
    <w:p w14:paraId="620CDBE8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III - análise de propostas, incluída a remuneração de pareceristas e os custos relativos ao processo seletivo realizado por comissões de seleção, inclusive bancas de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heteroidentificação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;</w:t>
      </w:r>
    </w:p>
    <w:p w14:paraId="225D4181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IV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suporte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ao acompanhamento e ao monitoramento dos processos e das propostas apoiadas; e</w:t>
      </w:r>
    </w:p>
    <w:p w14:paraId="6EA6ACC1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V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consultorias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, auditorias externas e estudos técnicos, incluídas as avaliações de impacto e de resultados.</w:t>
      </w:r>
    </w:p>
    <w:p w14:paraId="0B3E5F7A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1º Na contratação de serviços de que trata este artigo é vedada a delegação de competências exclusivas do Poder Público.</w:t>
      </w:r>
    </w:p>
    <w:p w14:paraId="72E18C6E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2º Na celebração de parcerias, será garantida a titularidade do Poder Público em relação aos dados de execução, com acesso permanente aos sistemas, inclusive após o término da parceria.</w:t>
      </w:r>
    </w:p>
    <w:p w14:paraId="51D5523E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CAPÍTULO XI</w:t>
      </w:r>
    </w:p>
    <w:p w14:paraId="7FC0FF25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DA REDISTRIBUIÇÃO E DAS DEVOLUÇÕES DE RECURSOS</w:t>
      </w:r>
    </w:p>
    <w:p w14:paraId="2A091A7D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19. O saldo dos recursos não solicitados pelos entes federativos será redistribuído após o encerramento do prazo de sessenta dias estabelecido no art. 8º.</w:t>
      </w:r>
    </w:p>
    <w:p w14:paraId="3A4A048D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1º Na redistribuição, serão aplicados os mesmos critérios de partilha estabelecidos na distribuição original, para todos os entes federativos que tiveram seus planos de ação aprovados e que tenham proposto a utilização integral dos recursos a eles destinados.</w:t>
      </w:r>
    </w:p>
    <w:p w14:paraId="449D7894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lastRenderedPageBreak/>
        <w:t>§ 2º Os saldos dos recursos não solicitados pelos Municípios serão redistribuídos para os demais Municípios do mesmo Estado que preencham as condições estabelecidas no § 1º e manifestem interesse em receber os novos recursos, a serem utilizados para a suplementação de chamamentos públicos já lançados ou para a realização de novos certames, observada a necessidade de aprovação da opção escolhida pelo Ministério da Cultura, por meio de complementação ao plano de ação inicialmente aprovado.</w:t>
      </w:r>
    </w:p>
    <w:p w14:paraId="68279A0F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3º Na hipótese de não existirem Municípios aptos para recebimento de redistribuição, os recursos serão repassados aos respectivos Estados.</w:t>
      </w:r>
    </w:p>
    <w:p w14:paraId="524E188D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20. Os recursos repassados aos Municípios, incluídos os redistribuídos, que não tenham sido objeto da adequação orçamentária de que trata o art. 9º no prazo de cento e oitenta dias, contado da data de recebimento do primeiro repasse, serão revertidos aos respectivos Estados.</w:t>
      </w:r>
    </w:p>
    <w:p w14:paraId="1910B0AB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Parágrafo único. Os saldos dos recursos recebidos pelos Estados poderão ser utilizados para a suplementação de chamamentos públicos lançados ou para a realização de novos certames.</w:t>
      </w:r>
    </w:p>
    <w:p w14:paraId="305642A0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21. Os recursos repassados aos Estados e ao Distrito Federal que não tenham sido objeto da adequação orçamentária de que trata o art. 9º serão restituídos ao Tesouro Nacional.</w:t>
      </w:r>
    </w:p>
    <w:p w14:paraId="7846B7EF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22. Encerrado o período de execução dos recursos recebidos pelos Estados, pelo Distrito Federal e pelos Municípios, os saldos remanescentes nas contas específicas abertas pelos entes federativos para a execução dos seus respectivos planos de ação serão restituídos ao Tesouro Nacional.</w:t>
      </w:r>
    </w:p>
    <w:p w14:paraId="4C0B346C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Parágrafo único. A devolução dos recursos de que trata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o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caput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corresponderá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à totalidade do saldo existente em conta, incluídos os ganhos obtidos com aplicações financeiras e não utilizados.</w:t>
      </w:r>
    </w:p>
    <w:p w14:paraId="64E702F3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CAPÍTULO XII</w:t>
      </w:r>
    </w:p>
    <w:p w14:paraId="0D691DD0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DO MONITORAMENTO, DA TRANSPARÊNCIA E DA AVALIAÇÃO DE RESULTADOS</w:t>
      </w:r>
    </w:p>
    <w:p w14:paraId="14A97FDE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23. Observados os princípios da transparência e da publicidade, os chamamentos públicos de que trata o art. 11 e os seus resultados serão publicados nos respectivos sítios eletrônicos dos entes federativos e nos seus diários oficiais, com palavras-chave indicadas pelo Ministério da Cultura.</w:t>
      </w:r>
    </w:p>
    <w:p w14:paraId="459B302E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Parágrafo único. As informações relativas à execução financeira dos Estados, do Distrito Federal e dos Municípios que receberem os recursos de que trata este Decreto serão disponibilizadas para acesso público.</w:t>
      </w:r>
    </w:p>
    <w:p w14:paraId="6D9427F4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24. Encerrado o prazo de execução dos recursos, os Estados, o Distrito Federal e os Municípios apresentarão, por meio da plataforma Transferegov.br, o relatório final de gestão, conforme modelo fornecido pelo Ministério da Cultura, com informações sobre a execução dos recursos recebidos, inclusive os relativos ao percentual de operacionalização de que trata o Capítulo X, acompanhado dos seguintes documentos:</w:t>
      </w:r>
    </w:p>
    <w:p w14:paraId="67CDB446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lastRenderedPageBreak/>
        <w:t xml:space="preserve">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lista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dos editais lançados pelo ente federativo, com os </w:t>
      </w:r>
      <w:proofErr w:type="spell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respectivos</w:t>
      </w:r>
      <w:r w:rsidRPr="00B64574">
        <w:rPr>
          <w:rFonts w:ascii="Arial" w:eastAsia="Times New Roman" w:hAnsi="Arial" w:cs="Arial"/>
          <w:b/>
          <w:bCs/>
          <w:color w:val="162937"/>
          <w:kern w:val="0"/>
          <w:sz w:val="24"/>
          <w:szCs w:val="24"/>
          <w:lang w:eastAsia="pt-BR"/>
          <w14:ligatures w14:val="none"/>
        </w:rPr>
        <w:t>links</w:t>
      </w: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de</w:t>
      </w:r>
      <w:proofErr w:type="spell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publicação em diário oficial;</w:t>
      </w:r>
    </w:p>
    <w:p w14:paraId="5989CC5A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publicação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da lista dos contemplados em diário oficial, com nome ou razão social, número de inscrição no Cadastro de Pessoas Físicas - CPF ou no Cadastro Nacional da Pessoa Jurídica - CNPJ, nome do projeto e valor do projeto;</w:t>
      </w:r>
    </w:p>
    <w:p w14:paraId="16717A41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III - comprovante de devolução do saldo remanescente; e</w:t>
      </w:r>
    </w:p>
    <w:p w14:paraId="1A6BD620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IV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outros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documentos solicitados pelo Ministério da Cultura relativos à execução dos recursos.</w:t>
      </w:r>
    </w:p>
    <w:p w14:paraId="36023A2E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1º Os Estados, o Distrito Federal e os Municípios terão o prazo de vinte e quatro meses, contado da data da transferência do recurso pela União, para o envio das informações relativas ao relatório final de gestão.</w:t>
      </w:r>
    </w:p>
    <w:p w14:paraId="0E7EC52A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2º A responsabilidade pelo envio do relatório final de gestão no prazo estabelecido é do gestor competente, garantida a fidedignidade das informações.</w:t>
      </w:r>
    </w:p>
    <w:p w14:paraId="305E968E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3º O Ministério da Cultura poderá dispensar, integral ou parcialmente, a apresentação, pelos entes federativos, de documentos já apresentados ou mapeados durante o processo de execução.</w:t>
      </w:r>
    </w:p>
    <w:p w14:paraId="37C28533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4º O Ministério da Cultura poderá, a qualquer tempo, requerer e estabelecer prazo para o envio de relatórios parciais para averiguação de possíveis irregularidades e avaliação qualitativa das ações.</w:t>
      </w:r>
    </w:p>
    <w:p w14:paraId="3C7CD789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5º Os parâmetros estabelecidos pelo gestor local, conforme o disposto no § 2º do art. 4º da Lei Complementar nº 195, de 2022, serão informados no relatório final de gestão.</w:t>
      </w:r>
    </w:p>
    <w:p w14:paraId="1C656CBA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6º O Ministério da Cultura editará comunicados com orientações para o preenchimento do relatório de gestão final.</w:t>
      </w:r>
    </w:p>
    <w:p w14:paraId="7A08D9C2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7º Compete aos Estados, ao Distrito Federal e aos Municípios o estabelecimento de prazos para a execução e a avaliação das prestações de contas dos agentes culturais destinatários finais dos recursos, inclusive quanto à aplicação de eventuais ressarcimentos, penalidades e medidas compensatórias, observado o disposto no Decreto nº 11.453, de 2023.</w:t>
      </w:r>
    </w:p>
    <w:p w14:paraId="4096DE8A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8º Os recursos provenientes de ressarcimentos, multas ou devoluções realizadas pelos agentes culturais destinatários finais dos recursos serão recolhidos pelo ente responsável pela realização do chamamento público.</w:t>
      </w:r>
    </w:p>
    <w:p w14:paraId="76E41FBC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CAPÍTULO XIII</w:t>
      </w:r>
    </w:p>
    <w:p w14:paraId="28A253B4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DAS COMPETÊNCIAS</w:t>
      </w:r>
    </w:p>
    <w:p w14:paraId="7671E326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25. Para fins do disposto neste Decreto, compete ao Ministério da Cultura:</w:t>
      </w:r>
    </w:p>
    <w:p w14:paraId="0A2422F1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analisar e aprovar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os planos de ação;</w:t>
      </w:r>
    </w:p>
    <w:p w14:paraId="275D2E07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acompanhar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 implementação e o fortalecimento do Sistema Nacional de Cultura;</w:t>
      </w:r>
    </w:p>
    <w:p w14:paraId="3CBB780B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lastRenderedPageBreak/>
        <w:t>III - repassar os recursos financeiros em conformidade com os planos de ação aprovados;</w:t>
      </w:r>
    </w:p>
    <w:p w14:paraId="7EF90BFE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IV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acompanhar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 implementação dos planos de ação e apreciar eventuais alterações;</w:t>
      </w:r>
    </w:p>
    <w:p w14:paraId="334E12D9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V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realizar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 redistribuição e a reversão de eventuais saldos de recursos;</w:t>
      </w:r>
    </w:p>
    <w:p w14:paraId="5535E72C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VI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solicitar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relatórios parciais de cumprimento dos planos de ação ou outros documentos necessários à sua comprovação, quando necessário; e</w:t>
      </w:r>
    </w:p>
    <w:p w14:paraId="0FF262BF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VII - analisar e manifestar-se sobre os relatórios finais de gestão apresentados pelos entes federativos.</w:t>
      </w:r>
    </w:p>
    <w:p w14:paraId="60C2F21B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26. Para fins do disposto neste Decreto, compete aos Estados, ao Distrito Federal e aos Municípios:</w:t>
      </w:r>
    </w:p>
    <w:p w14:paraId="31CEE2E8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apresentar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 documentação necessária para a aprovação do plano de ação na forma prevista neste Decreto;</w:t>
      </w:r>
    </w:p>
    <w:p w14:paraId="68E3A3BD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apresentar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o plano de ação ao Ministério da Cultura;</w:t>
      </w:r>
    </w:p>
    <w:p w14:paraId="000D721D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III - fortalecer os sistemas estaduais, distrital e municipais de cultura existentes ou, se inexistentes, implantá-los, com a instituição dos conselhos, dos planos e dos fundos estaduais, distrital e municipais de cultura, e apresentar as devidas comprovações;</w:t>
      </w:r>
    </w:p>
    <w:p w14:paraId="1EDF7DF5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IV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executar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o plano de ação conforme aprovado pelo Ministério da Cultura e informar e justificar eventuais remanejamentos no relatório de gestão;</w:t>
      </w:r>
    </w:p>
    <w:p w14:paraId="7EEFD50D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V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promover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 adequação orçamentária dos recursos recebidos;</w:t>
      </w:r>
    </w:p>
    <w:p w14:paraId="51CD5247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VI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realizar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chamadas públicas, observado o disposto neste Decreto;</w:t>
      </w:r>
    </w:p>
    <w:p w14:paraId="4CDA3FB0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VII - analisar, aprovar e acompanhar a execução dos projetos selecionados;</w:t>
      </w:r>
    </w:p>
    <w:p w14:paraId="6BCA313B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VIII - recolher dados relativos à execução dos recursos e aos seus destinatários;</w:t>
      </w:r>
    </w:p>
    <w:p w14:paraId="46CF8CA9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IX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encaminhar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ao Ministério da Cultura:</w:t>
      </w:r>
    </w:p>
    <w:p w14:paraId="2353FC59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a) relatórios parciais de cumprimento do plano de ação, quando solicitados; e</w:t>
      </w:r>
    </w:p>
    <w:p w14:paraId="6804AAB6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b) relatório final de gestão;</w:t>
      </w:r>
    </w:p>
    <w:p w14:paraId="1615F3CB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X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zelar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pela aplicação regular dos recursos recebidos e assegurar a conformidade dos documentos, das informações e dos demonstrativos de natureza contábil, financeira, orçamentária e operacional;</w:t>
      </w:r>
    </w:p>
    <w:p w14:paraId="633666E5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XI - respeitar e cumprir o manual de aplicação de marcas a ser divulgado pelo Ministério da Cultura; e</w:t>
      </w:r>
    </w:p>
    <w:p w14:paraId="39164937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XII - instaurar tomada de contas especial nos projetos contemplados e aplicar eventuais sanções, quando necessário.</w:t>
      </w:r>
    </w:p>
    <w:p w14:paraId="27039DA5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CAPÍTULO XIV</w:t>
      </w:r>
    </w:p>
    <w:p w14:paraId="50C3948A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lastRenderedPageBreak/>
        <w:t>DISPOSIÇÕES FINAIS</w:t>
      </w:r>
    </w:p>
    <w:p w14:paraId="7A26448D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27. Para fins do disposto neste Decreto, os Estados, o Distrito Federal e os Municípios poderão editar regulamento com os procedimentos necessários à aplicação dos recursos recebidos no âmbito do ente federativo, observado o disposto na Lei Complementar nº 195, de 2022, neste Decreto, nos regulamentos e nas instruções normativas e orientações editadas pelo Ministério da Cultura.</w:t>
      </w:r>
    </w:p>
    <w:p w14:paraId="2920CDEF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1º O Ministério da Cultura, com a orientação da Advocacia-Geral da União, produzirá material de orientação e padronização que conterá:</w:t>
      </w:r>
    </w:p>
    <w:p w14:paraId="6A891546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minutas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de editais para diferentes modalidades de fomento;</w:t>
      </w:r>
    </w:p>
    <w:p w14:paraId="28021B43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II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minutas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de instrumentos de contratualização, quando houver obrigação futura, conforme o disposto no Decreto nº 11.453, de 2023;</w:t>
      </w:r>
    </w:p>
    <w:p w14:paraId="73DCA457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III - minutas de recibos, quando se tratar de premiação, sem obrigação futura;</w:t>
      </w:r>
    </w:p>
    <w:p w14:paraId="729996FD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IV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minutas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de relatórios de prestação de informações e de pareceres técnicos de análise desses relatórios, conforme o disposto no Decreto nº 11.453, de 2023; e</w:t>
      </w:r>
    </w:p>
    <w:p w14:paraId="09424BA5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V - </w:t>
      </w:r>
      <w:proofErr w:type="gramStart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minutas</w:t>
      </w:r>
      <w:proofErr w:type="gramEnd"/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 xml:space="preserve"> de outros instrumentos técnicos e jurídicos necessários à execução dos recursos.</w:t>
      </w:r>
    </w:p>
    <w:p w14:paraId="4F5CA36D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§ 2º Os Estados, o Distrito Federal e os Municípios poderão adotar as minutas de orientação e padronização de que trata o § 1º.</w:t>
      </w:r>
    </w:p>
    <w:p w14:paraId="2FF66610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Art. 28. Este Decreto entra em vigor na data de sua publicação.</w:t>
      </w:r>
    </w:p>
    <w:p w14:paraId="1AB64902" w14:textId="77777777" w:rsidR="00B64574" w:rsidRPr="00B64574" w:rsidRDefault="00B64574" w:rsidP="00B64574">
      <w:pPr>
        <w:shd w:val="clear" w:color="auto" w:fill="FFFFFF"/>
        <w:spacing w:after="150" w:line="240" w:lineRule="auto"/>
        <w:ind w:firstLine="1200"/>
        <w:jc w:val="both"/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162937"/>
          <w:kern w:val="0"/>
          <w:sz w:val="24"/>
          <w:szCs w:val="24"/>
          <w:lang w:eastAsia="pt-BR"/>
          <w14:ligatures w14:val="none"/>
        </w:rPr>
        <w:t>Brasília, 11 de maio de 2023; 202º da Independência e 135º da República.</w:t>
      </w:r>
    </w:p>
    <w:p w14:paraId="5E1B995B" w14:textId="77777777" w:rsidR="00B64574" w:rsidRPr="00B64574" w:rsidRDefault="00B64574" w:rsidP="00B64574">
      <w:pPr>
        <w:shd w:val="clear" w:color="auto" w:fill="FFFFFF"/>
        <w:spacing w:before="300" w:after="0" w:line="240" w:lineRule="auto"/>
        <w:jc w:val="right"/>
        <w:rPr>
          <w:rFonts w:ascii="Arial" w:eastAsia="Times New Roman" w:hAnsi="Arial" w:cs="Arial"/>
          <w:b/>
          <w:bCs/>
          <w:caps/>
          <w:color w:val="162937"/>
          <w:kern w:val="0"/>
          <w:sz w:val="26"/>
          <w:szCs w:val="26"/>
          <w:lang w:eastAsia="pt-BR"/>
          <w14:ligatures w14:val="none"/>
        </w:rPr>
      </w:pPr>
      <w:r w:rsidRPr="00B64574">
        <w:rPr>
          <w:rFonts w:ascii="Arial" w:eastAsia="Times New Roman" w:hAnsi="Arial" w:cs="Arial"/>
          <w:b/>
          <w:bCs/>
          <w:caps/>
          <w:color w:val="162937"/>
          <w:kern w:val="0"/>
          <w:sz w:val="26"/>
          <w:szCs w:val="26"/>
          <w:lang w:eastAsia="pt-BR"/>
          <w14:ligatures w14:val="none"/>
        </w:rPr>
        <w:t>LUIZ INÁCIO LULA DA SILVA</w:t>
      </w:r>
    </w:p>
    <w:p w14:paraId="63D72AC6" w14:textId="77777777" w:rsidR="00B64574" w:rsidRPr="00B64574" w:rsidRDefault="00B64574" w:rsidP="00B64574">
      <w:pPr>
        <w:shd w:val="clear" w:color="auto" w:fill="FFFFFF"/>
        <w:spacing w:line="240" w:lineRule="auto"/>
        <w:jc w:val="right"/>
        <w:rPr>
          <w:rFonts w:ascii="Arial" w:eastAsia="Times New Roman" w:hAnsi="Arial" w:cs="Arial"/>
          <w:i/>
          <w:iCs/>
          <w:color w:val="162937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i/>
          <w:iCs/>
          <w:color w:val="162937"/>
          <w:kern w:val="0"/>
          <w:sz w:val="24"/>
          <w:szCs w:val="24"/>
          <w:lang w:eastAsia="pt-BR"/>
          <w14:ligatures w14:val="none"/>
        </w:rPr>
        <w:t>Margareth Menezes da Purificação Costa</w:t>
      </w:r>
    </w:p>
    <w:p w14:paraId="5090CB4A" w14:textId="77777777" w:rsidR="00B64574" w:rsidRPr="00B64574" w:rsidRDefault="00B64574" w:rsidP="00B6457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555555"/>
          <w:kern w:val="0"/>
          <w:sz w:val="24"/>
          <w:szCs w:val="24"/>
          <w:lang w:eastAsia="pt-BR"/>
          <w14:ligatures w14:val="none"/>
        </w:rPr>
      </w:pPr>
      <w:r w:rsidRPr="00B64574">
        <w:rPr>
          <w:rFonts w:ascii="Arial" w:eastAsia="Times New Roman" w:hAnsi="Arial" w:cs="Arial"/>
          <w:color w:val="555555"/>
          <w:kern w:val="0"/>
          <w:sz w:val="24"/>
          <w:szCs w:val="24"/>
          <w:lang w:eastAsia="pt-BR"/>
          <w14:ligatures w14:val="none"/>
        </w:rPr>
        <w:t>Presidente da República Federativa do Brasil</w:t>
      </w:r>
    </w:p>
    <w:p w14:paraId="5C17CC00" w14:textId="77777777" w:rsidR="00024C2C" w:rsidRDefault="00024C2C"/>
    <w:sectPr w:rsidR="00024C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574"/>
    <w:rsid w:val="00024C2C"/>
    <w:rsid w:val="0045012D"/>
    <w:rsid w:val="00B6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81C6B"/>
  <w15:chartTrackingRefBased/>
  <w15:docId w15:val="{4141ECF0-32E9-4DB3-8F8D-2BE8E5C7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B645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64574"/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  <w:style w:type="paragraph" w:customStyle="1" w:styleId="text-center">
    <w:name w:val="text-center"/>
    <w:basedOn w:val="Normal"/>
    <w:rsid w:val="00B64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publicado-dou">
    <w:name w:val="publicado-dou"/>
    <w:basedOn w:val="Fontepargpadro"/>
    <w:rsid w:val="00B64574"/>
  </w:style>
  <w:style w:type="character" w:customStyle="1" w:styleId="publicado-dou-data">
    <w:name w:val="publicado-dou-data"/>
    <w:basedOn w:val="Fontepargpadro"/>
    <w:rsid w:val="00B64574"/>
  </w:style>
  <w:style w:type="character" w:customStyle="1" w:styleId="pipe">
    <w:name w:val="pipe"/>
    <w:basedOn w:val="Fontepargpadro"/>
    <w:rsid w:val="00B64574"/>
  </w:style>
  <w:style w:type="character" w:customStyle="1" w:styleId="edicao-dou">
    <w:name w:val="edicao-dou"/>
    <w:basedOn w:val="Fontepargpadro"/>
    <w:rsid w:val="00B64574"/>
  </w:style>
  <w:style w:type="character" w:customStyle="1" w:styleId="edicao-dou-data">
    <w:name w:val="edicao-dou-data"/>
    <w:basedOn w:val="Fontepargpadro"/>
    <w:rsid w:val="00B64574"/>
  </w:style>
  <w:style w:type="character" w:customStyle="1" w:styleId="secao-dou">
    <w:name w:val="secao-dou"/>
    <w:basedOn w:val="Fontepargpadro"/>
    <w:rsid w:val="00B64574"/>
  </w:style>
  <w:style w:type="character" w:customStyle="1" w:styleId="secao-dou-data">
    <w:name w:val="secao-dou-data"/>
    <w:basedOn w:val="Fontepargpadro"/>
    <w:rsid w:val="00B64574"/>
  </w:style>
  <w:style w:type="character" w:customStyle="1" w:styleId="orgao-dou">
    <w:name w:val="orgao-dou"/>
    <w:basedOn w:val="Fontepargpadro"/>
    <w:rsid w:val="00B64574"/>
  </w:style>
  <w:style w:type="character" w:customStyle="1" w:styleId="orgao-dou-data">
    <w:name w:val="orgao-dou-data"/>
    <w:basedOn w:val="Fontepargpadro"/>
    <w:rsid w:val="00B64574"/>
  </w:style>
  <w:style w:type="paragraph" w:customStyle="1" w:styleId="identifica">
    <w:name w:val="identifica"/>
    <w:basedOn w:val="Normal"/>
    <w:rsid w:val="00B64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dou-paragraph">
    <w:name w:val="dou-paragraph"/>
    <w:basedOn w:val="Normal"/>
    <w:rsid w:val="00B64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ementa">
    <w:name w:val="ementa"/>
    <w:basedOn w:val="Normal"/>
    <w:rsid w:val="00B64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B64574"/>
    <w:rPr>
      <w:b/>
      <w:bCs/>
    </w:rPr>
  </w:style>
  <w:style w:type="paragraph" w:customStyle="1" w:styleId="assinapr">
    <w:name w:val="assinapr"/>
    <w:basedOn w:val="Normal"/>
    <w:rsid w:val="00B64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assina">
    <w:name w:val="assina"/>
    <w:basedOn w:val="Normal"/>
    <w:rsid w:val="00B64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cargo">
    <w:name w:val="cargo"/>
    <w:basedOn w:val="Normal"/>
    <w:rsid w:val="00B64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8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49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5734</Words>
  <Characters>30968</Characters>
  <Application>Microsoft Office Word</Application>
  <DocSecurity>0</DocSecurity>
  <Lines>258</Lines>
  <Paragraphs>73</Paragraphs>
  <ScaleCrop>false</ScaleCrop>
  <Company/>
  <LinksUpToDate>false</LinksUpToDate>
  <CharactersWithSpaces>36629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CRISTINA TELAROLLI</dc:creator>
  <cp:keywords/>
  <dc:description/>
  <cp:lastModifiedBy>TERESA CRISTINA TELAROLLI</cp:lastModifiedBy>
  <cp:revision>1</cp:revision>
  <dcterms:created xsi:type="dcterms:W3CDTF">2023-05-12T14:50:00Z</dcterms:created>
  <dcterms:modified xsi:type="dcterms:W3CDTF">2023-05-12T14:51:00Z</dcterms:modified>
</cp:coreProperties>
</file>